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69" w:rsidRPr="00594A69" w:rsidRDefault="00594A69" w:rsidP="00594A69">
      <w:pPr>
        <w:shd w:val="clear" w:color="auto" w:fill="FFFFFF"/>
        <w:spacing w:before="161" w:after="161" w:line="338" w:lineRule="atLeast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594A69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Постановление Правительства РФ от 4 апреля 2020 г. N 448 "О внесении изменений в государственную программу Российской Федерации "Развитие образования"</w:t>
      </w:r>
    </w:p>
    <w:p w:rsidR="00594A69" w:rsidRPr="00594A69" w:rsidRDefault="00594A69" w:rsidP="00594A6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bookmarkStart w:id="0" w:name="text"/>
      <w:bookmarkEnd w:id="0"/>
      <w:r w:rsidRPr="00594A6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94A69" w:rsidRPr="00594A69" w:rsidRDefault="00594A69" w:rsidP="00594A69">
      <w:pPr>
        <w:shd w:val="clear" w:color="auto" w:fill="FFFFFF"/>
        <w:spacing w:after="300" w:line="338" w:lineRule="atLeast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Правительство Российской Федерации постановляет:</w:t>
      </w:r>
    </w:p>
    <w:p w:rsidR="00594A69" w:rsidRPr="00594A69" w:rsidRDefault="00594A69" w:rsidP="00884C0B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1. </w:t>
      </w:r>
      <w:proofErr w:type="gramStart"/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Утвердить прилагаемые </w:t>
      </w:r>
      <w:hyperlink r:id="rId4" w:anchor="block_1000" w:history="1">
        <w:r w:rsidRPr="00594A69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изменения</w:t>
        </w:r>
      </w:hyperlink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, которые вносятся в </w:t>
      </w:r>
      <w:hyperlink r:id="rId5" w:anchor="block_1000" w:history="1">
        <w:r w:rsidRPr="00594A69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государственную программу</w:t>
        </w:r>
      </w:hyperlink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Российской Федерации "Развитие образования", утвержденную </w:t>
      </w:r>
      <w:hyperlink r:id="rId6" w:history="1">
        <w:r w:rsidRPr="00594A69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постановлением</w:t>
        </w:r>
      </w:hyperlink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Правительства Российской Федерации от 26 декабря 2017 г. N 1642 "Об утверждении государственной программы Российской Федерации "Развитие образования" (Собрание законодательства Российской Федерации, 2018, N 1, ст. 375; N 10, ст. 1500; N 42, ст. 6462; 2019, N 5, ст. 372;</w:t>
      </w:r>
      <w:proofErr w:type="gramEnd"/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</w:t>
      </w:r>
      <w:proofErr w:type="gramStart"/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N 15, ст. 1747; N 34, ст. 4880; N 46, ст. 6496; N 49, ст. 7142; N 50, ст. 7402; N 52, ст. 7960; 2020, N 1, ст. 70; N 9, ст. 1204; N 12, ст. 1763; Официальный интернет-портал правовой информации (</w:t>
      </w:r>
      <w:proofErr w:type="spellStart"/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www.pravo.gov.ru</w:t>
      </w:r>
      <w:proofErr w:type="spellEnd"/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), 2020, 1 апреля, N 0001202004010021).</w:t>
      </w:r>
      <w:proofErr w:type="gramEnd"/>
    </w:p>
    <w:p w:rsidR="00594A69" w:rsidRPr="00594A69" w:rsidRDefault="00594A69" w:rsidP="00884C0B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2. </w:t>
      </w:r>
      <w:proofErr w:type="gramStart"/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Установить, что расчет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в рамках </w:t>
      </w:r>
      <w:hyperlink r:id="rId7" w:anchor="block_1000" w:history="1">
        <w:r w:rsidRPr="00594A69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государственной программы</w:t>
        </w:r>
      </w:hyperlink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Российской Федерации "Развитие образования</w:t>
      </w:r>
      <w:proofErr w:type="gramEnd"/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" в 2020 году осуществляется с 1 сентября по 31 декабря 2020 г.</w:t>
      </w:r>
    </w:p>
    <w:p w:rsidR="00594A69" w:rsidRPr="00594A69" w:rsidRDefault="00594A69" w:rsidP="00594A6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94A6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594A69" w:rsidRPr="00594A69" w:rsidTr="00594A69">
        <w:tc>
          <w:tcPr>
            <w:tcW w:w="3300" w:type="pct"/>
            <w:shd w:val="clear" w:color="auto" w:fill="FFFFFF"/>
            <w:vAlign w:val="bottom"/>
            <w:hideMark/>
          </w:tcPr>
          <w:p w:rsidR="00594A69" w:rsidRPr="00594A69" w:rsidRDefault="00594A69" w:rsidP="00594A6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Правительства</w:t>
            </w:r>
            <w:r w:rsidRPr="00594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594A69" w:rsidRPr="00594A69" w:rsidRDefault="00594A69" w:rsidP="00594A69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594A69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М. </w:t>
            </w:r>
            <w:proofErr w:type="spellStart"/>
            <w:r w:rsidRPr="00594A69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Мишустин</w:t>
            </w:r>
            <w:proofErr w:type="spellEnd"/>
          </w:p>
        </w:tc>
      </w:tr>
    </w:tbl>
    <w:p w:rsidR="00594A69" w:rsidRPr="00594A69" w:rsidRDefault="00594A69" w:rsidP="00594A6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94A6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594A69" w:rsidRPr="00594A69" w:rsidRDefault="00594A69" w:rsidP="00594A69">
      <w:pPr>
        <w:shd w:val="clear" w:color="auto" w:fill="FFFFFF"/>
        <w:spacing w:after="0" w:line="338" w:lineRule="atLeast"/>
        <w:ind w:firstLine="680"/>
        <w:jc w:val="right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594A69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УТВЕРЖДЕНЫ</w:t>
      </w:r>
      <w:r w:rsidRPr="00594A69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br/>
      </w:r>
      <w:hyperlink r:id="rId8" w:history="1">
        <w:r w:rsidRPr="00594A69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постановлением</w:t>
        </w:r>
      </w:hyperlink>
      <w:r w:rsidRPr="00594A69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 Правительства</w:t>
      </w:r>
      <w:r w:rsidRPr="00594A69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br/>
        <w:t>Российской Федерации</w:t>
      </w:r>
      <w:r w:rsidRPr="00594A69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br/>
        <w:t>от 4 апреля 2020 г. N 448</w:t>
      </w:r>
    </w:p>
    <w:p w:rsidR="00594A69" w:rsidRPr="00594A69" w:rsidRDefault="00594A69" w:rsidP="00594A6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94A6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594A69" w:rsidRPr="00594A69" w:rsidRDefault="00594A69" w:rsidP="00594A69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594A69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Изменения,</w:t>
      </w:r>
      <w:r w:rsidRPr="00594A69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br/>
        <w:t>которые вносятся в государственную программу Российской Федерации "Развитие образования"</w:t>
      </w:r>
    </w:p>
    <w:p w:rsidR="00594A69" w:rsidRPr="00594A69" w:rsidRDefault="00594A69" w:rsidP="00594A6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94A6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594A69" w:rsidRPr="00594A69" w:rsidRDefault="00594A69" w:rsidP="00594A69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1. Позицию паспорта Программы, касающуюся </w:t>
      </w:r>
      <w:hyperlink r:id="rId9" w:anchor="block_1057" w:history="1">
        <w:r w:rsidRPr="00594A69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приложений</w:t>
        </w:r>
      </w:hyperlink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к Программе, дополнить </w:t>
      </w:r>
      <w:hyperlink r:id="rId10" w:anchor="block_1528" w:history="1">
        <w:r w:rsidRPr="00594A69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абзацем</w:t>
        </w:r>
      </w:hyperlink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следующего содержания:</w:t>
      </w:r>
    </w:p>
    <w:p w:rsidR="00594A69" w:rsidRPr="00594A69" w:rsidRDefault="00594A69" w:rsidP="00594A69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proofErr w:type="gramStart"/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lastRenderedPageBreak/>
        <w:t>"приложение N 28 "Правила предоставления и распределения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программы".</w:t>
      </w:r>
      <w:proofErr w:type="gramEnd"/>
    </w:p>
    <w:p w:rsidR="00594A69" w:rsidRPr="00594A69" w:rsidRDefault="00594A69" w:rsidP="00594A6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2. Дополнить </w:t>
      </w:r>
      <w:hyperlink r:id="rId11" w:anchor="block_28000" w:history="1">
        <w:r w:rsidRPr="00594A69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приложением N 28</w:t>
        </w:r>
      </w:hyperlink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следующего содержания:</w:t>
      </w:r>
    </w:p>
    <w:p w:rsidR="00594A69" w:rsidRPr="00594A69" w:rsidRDefault="00594A69" w:rsidP="00594A6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94A6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594A69" w:rsidRPr="00594A69" w:rsidRDefault="00594A69" w:rsidP="00594A69">
      <w:pPr>
        <w:shd w:val="clear" w:color="auto" w:fill="FFFFFF"/>
        <w:spacing w:after="0" w:line="338" w:lineRule="atLeast"/>
        <w:ind w:firstLine="680"/>
        <w:jc w:val="right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594A69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"ПРИЛОЖЕНИЕ N 28</w:t>
      </w:r>
      <w:r w:rsidRPr="00594A69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br/>
        <w:t>к государственной программе</w:t>
      </w:r>
      <w:r w:rsidRPr="00594A69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br/>
        <w:t>Российской Федерации</w:t>
      </w:r>
      <w:r w:rsidRPr="00594A69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br/>
        <w:t>"Развитие образования"</w:t>
      </w:r>
    </w:p>
    <w:p w:rsidR="00594A69" w:rsidRPr="00594A69" w:rsidRDefault="00594A69" w:rsidP="00594A6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94A6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594A69" w:rsidRPr="00594A69" w:rsidRDefault="00594A69" w:rsidP="00594A69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proofErr w:type="gramStart"/>
      <w:r w:rsidRPr="00594A69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Правила</w:t>
      </w:r>
      <w:r w:rsidRPr="00594A69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br/>
        <w:t>предоставления и распределения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</w:r>
      <w:proofErr w:type="gramEnd"/>
    </w:p>
    <w:p w:rsidR="00594A69" w:rsidRPr="00594A69" w:rsidRDefault="00594A69" w:rsidP="00594A6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94A6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594A69" w:rsidRPr="00594A69" w:rsidRDefault="00594A69" w:rsidP="00884C0B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1. </w:t>
      </w:r>
      <w:proofErr w:type="gramStart"/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Настоящие Правила устанавливают цели, условия и порядок предоставления и распределения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(далее</w:t>
      </w:r>
      <w:proofErr w:type="gramEnd"/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- общеобразовательные организации), в рамках реализации государственной программы Российской Федерации "Развитие образования" (далее - иные межбюджетные трансферты).</w:t>
      </w:r>
    </w:p>
    <w:p w:rsidR="00594A69" w:rsidRPr="00594A69" w:rsidRDefault="00594A69" w:rsidP="00884C0B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2. </w:t>
      </w:r>
      <w:proofErr w:type="gramStart"/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Иные межбюджетные трансферты предоставляются в целях </w:t>
      </w:r>
      <w:proofErr w:type="spellStart"/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софинансирования</w:t>
      </w:r>
      <w:proofErr w:type="spellEnd"/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в полном объеме расходных обязательств субъектов </w:t>
      </w: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lastRenderedPageBreak/>
        <w:t>Российской Федерации, возникающих при осуществлении выплат ежемесячного денежного вознаграждения за классное руководство педагогическим работникам общеобразовательных организаций из расчета 5 тысяч рублей в месяц с учетом установленных трудовым законодательством Российской Федерации отчислений по социальному страхованию в государственные внебюджетные фонды Российской Федерации (Пенсионный фонд Российской Федерации на обязательное пенсионное</w:t>
      </w:r>
      <w:proofErr w:type="gramEnd"/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</w:t>
      </w:r>
      <w:proofErr w:type="gramStart"/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 учетом страховых взносов на обязательное социальное страхование от несчастных случаев на производстве и профессиональных заболеваний) (далее - страховые взносы в государственные внебюджетные фонды) и районных коэффициентов к заработной плате, установленных</w:t>
      </w:r>
      <w:proofErr w:type="gramEnd"/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</w:t>
      </w:r>
      <w:proofErr w:type="gramStart"/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решениями органов государственной власти СССР или федеральных органов государственной власти, за работу в районах Крайнего Севера и приравненных к ним местностях, высокогорных, пустынных, безводных и других районах (местностях) с особыми климатическими условиями (далее - районные коэффициенты) и процентной надбавки к заработной плате за стаж работы в районах Крайнего Севера и приравненных к ним местностях, а также за работу в других районах</w:t>
      </w:r>
      <w:proofErr w:type="gramEnd"/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(</w:t>
      </w:r>
      <w:proofErr w:type="gramStart"/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местностях</w:t>
      </w:r>
      <w:proofErr w:type="gramEnd"/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) с особыми климатическими условиями (далее - процентные надбавки).</w:t>
      </w:r>
    </w:p>
    <w:p w:rsidR="00594A69" w:rsidRPr="00594A69" w:rsidRDefault="00594A69" w:rsidP="00884C0B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3. Иные межбюджетные трансферты предоставляются в пределах лимитов бюджетных обязательств, доведенных в установленном порядке до Министерства просвещения Российской Федерации как получателя средств федерального бюджета на цели, указанные в пункте 2 настоящих Правил.</w:t>
      </w:r>
    </w:p>
    <w:p w:rsidR="00594A69" w:rsidRPr="00594A69" w:rsidRDefault="00594A69" w:rsidP="00884C0B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4. Распределение иных межбюджетных трансфертов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период.</w:t>
      </w:r>
    </w:p>
    <w:p w:rsidR="00594A69" w:rsidRPr="00594A69" w:rsidRDefault="00594A69" w:rsidP="00884C0B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5. Критерием отбора субъекта Российской Федерации для предоставления иного межбюджетного трансферта является наличие потребности субъекта Российской Федерации в обеспечении выплат ежемесячного денежного </w:t>
      </w:r>
      <w:proofErr w:type="gramStart"/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вознаграждения</w:t>
      </w:r>
      <w:proofErr w:type="gramEnd"/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за классное руководство исходя из прогнозируемой численности педагогических работников общеобразовательных организаций на начало учебного года.</w:t>
      </w:r>
    </w:p>
    <w:p w:rsidR="00594A69" w:rsidRPr="00594A69" w:rsidRDefault="00594A69" w:rsidP="00884C0B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6. Условием предоставления иных межбюджетных трансфертов является наличие у субъекта Российской Федерации принятого в установленном </w:t>
      </w: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lastRenderedPageBreak/>
        <w:t xml:space="preserve">порядке нормативного правового акта, устанавливающего расходное обязательство субъекта Российской Федерации, в целях </w:t>
      </w:r>
      <w:proofErr w:type="spellStart"/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софинансирования</w:t>
      </w:r>
      <w:proofErr w:type="spellEnd"/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которого предоставляются иные межбюджетные трансферты.</w:t>
      </w:r>
    </w:p>
    <w:p w:rsidR="00594A69" w:rsidRPr="00594A69" w:rsidRDefault="00594A69" w:rsidP="00884C0B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7. </w:t>
      </w:r>
      <w:proofErr w:type="gramStart"/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Предоставление иных межбюджетных трансфертов осуществляется на основании соглашения о предоставлении иного межбюджетного трансферта, заключаемого Министерством просвещения Российской Федерации и высшим исполнительным органом государственной власти субъекта Российской Федерации (далее - соглашение) в форме электронного документа с использованием государственной интегрированной информационной системы управления общественными финансами "Электронный бюджет" в соответствии с типовой формой соглашения о предоставлении иного межбюджетного трансферта, имеющего целевое назначение, из федерального</w:t>
      </w:r>
      <w:proofErr w:type="gramEnd"/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бюджета бюджету субъекта Российской Федерации, утвержденной Министерством финансов Российской Федерации.</w:t>
      </w:r>
    </w:p>
    <w:p w:rsidR="00594A69" w:rsidRPr="00594A69" w:rsidRDefault="00594A69" w:rsidP="00884C0B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При заключении соглашения высший исполнительный орган государственной власти субъекта Российской Федерации представляет в Министерство просвещения Российской Федерации отчет об исполнении условия предоставления иного межбюджетного трансферта, предусмотренного пунктом 6 настоящих Правил.</w:t>
      </w:r>
    </w:p>
    <w:p w:rsidR="00594A69" w:rsidRPr="00594A69" w:rsidRDefault="00594A69" w:rsidP="00884C0B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8. В целях реализации принятого субъектом Российской Федерации в установленном порядке нормативного правового акта, устанавливающего расходное обязательство субъекта Российской Федерации, в целях </w:t>
      </w:r>
      <w:proofErr w:type="spellStart"/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софинансирования</w:t>
      </w:r>
      <w:proofErr w:type="spellEnd"/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которого предоставляются межбюджетные трансферты, может быть предусмотрено предоставление межбюджетных трансфертов из бюджета субъекта Российской Федерации местным бюджетам.</w:t>
      </w:r>
    </w:p>
    <w:p w:rsidR="00594A69" w:rsidRPr="00594A69" w:rsidRDefault="00594A69" w:rsidP="00884C0B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9.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Федерации, размещает в установленный срок в соответствии с соглашением в государственной интегрированной информационной системе управления общественными финансами "Электронный бюджет":</w:t>
      </w:r>
    </w:p>
    <w:p w:rsidR="00594A69" w:rsidRPr="00594A69" w:rsidRDefault="00594A69" w:rsidP="00884C0B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отчет о расходах бюджета субъекта Российской Федерации, в целях </w:t>
      </w:r>
      <w:proofErr w:type="spellStart"/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софинансирования</w:t>
      </w:r>
      <w:proofErr w:type="spellEnd"/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которых предоставляются иные межбюджетные трансферты, - ежемесячно, не позднее 10-го числа месяца, следующего за отчетным месяцем;</w:t>
      </w:r>
    </w:p>
    <w:p w:rsidR="00594A69" w:rsidRPr="00594A69" w:rsidRDefault="00594A69" w:rsidP="00884C0B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отчет о достижении значения результата предоставления иных межбюджетных трансфертов, которое устанавливается в соглашении, - </w:t>
      </w: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lastRenderedPageBreak/>
        <w:t>ежемесячно, не позднее 10-го числа месяца, следующего за отчетным месяцем.</w:t>
      </w:r>
    </w:p>
    <w:p w:rsidR="00594A69" w:rsidRPr="00594A69" w:rsidRDefault="00594A69" w:rsidP="00884C0B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10. Результатом предоставления иных межбюджетных трансфертов является доля педагогических работников общеобразовательных организаций, получивших ежемесячное денежное вознаграждение за классное руководство из расчета 5 тысяч рублей в месяц с учетом страховых взносов в государственные внебюджетные фонды, а также районных коэффициентов и процентных надбавок, в общей численности педагогических работников такой категории.</w:t>
      </w:r>
    </w:p>
    <w:p w:rsidR="00594A69" w:rsidRPr="00594A69" w:rsidRDefault="00594A69" w:rsidP="00594A6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11. Размер предоставляемого бюджету субъекта Российской Федерации иного межбюджетного трансферта (T</w:t>
      </w: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vertAlign w:val="subscript"/>
          <w:lang w:eastAsia="ru-RU"/>
        </w:rPr>
        <w:t> 1i</w:t>
      </w: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) определяется по формуле:</w:t>
      </w:r>
    </w:p>
    <w:p w:rsidR="00594A69" w:rsidRPr="00594A69" w:rsidRDefault="00594A69" w:rsidP="00594A6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94A6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594A69" w:rsidRPr="00594A69" w:rsidRDefault="00594A69" w:rsidP="00594A69">
      <w:pPr>
        <w:shd w:val="clear" w:color="auto" w:fill="FFFFFF"/>
        <w:spacing w:after="0" w:line="338" w:lineRule="atLeast"/>
        <w:ind w:firstLine="680"/>
        <w:jc w:val="center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Т</w:t>
      </w: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vertAlign w:val="subscript"/>
          <w:lang w:eastAsia="ru-RU"/>
        </w:rPr>
        <w:t>1i</w:t>
      </w: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= (</w:t>
      </w:r>
      <w:proofErr w:type="spellStart"/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T</w:t>
      </w: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vertAlign w:val="subscript"/>
          <w:lang w:eastAsia="ru-RU"/>
        </w:rPr>
        <w:t>кр</w:t>
      </w:r>
      <w:proofErr w:type="spellEnd"/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.25pt;height:14.25pt"/>
        </w:pict>
      </w: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(</w:t>
      </w:r>
      <w:proofErr w:type="spellStart"/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Р</w:t>
      </w: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vertAlign w:val="subscript"/>
          <w:lang w:eastAsia="ru-RU"/>
        </w:rPr>
        <w:t>к</w:t>
      </w:r>
      <w:proofErr w:type="spellEnd"/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 + </w:t>
      </w:r>
      <w:proofErr w:type="spellStart"/>
      <w:proofErr w:type="gramStart"/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Пн</w:t>
      </w:r>
      <w:proofErr w:type="spellEnd"/>
      <w:proofErr w:type="gramEnd"/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)) </w:t>
      </w: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pict>
          <v:shape id="_x0000_i1026" type="#_x0000_t75" alt="" style="width:8.25pt;height:14.25pt"/>
        </w:pict>
      </w: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Н</w:t>
      </w: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vertAlign w:val="subscript"/>
          <w:lang w:eastAsia="ru-RU"/>
        </w:rPr>
        <w:t>1</w:t>
      </w: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pict>
          <v:shape id="_x0000_i1027" type="#_x0000_t75" alt="" style="width:8.25pt;height:14.25pt"/>
        </w:pict>
      </w: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</w:t>
      </w:r>
      <w:proofErr w:type="spellStart"/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Nм</w:t>
      </w:r>
      <w:proofErr w:type="spellEnd"/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</w:t>
      </w: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pict>
          <v:shape id="_x0000_i1028" type="#_x0000_t75" alt="" style="width:8.25pt;height:14.25pt"/>
        </w:pict>
      </w: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</w:t>
      </w:r>
      <w:proofErr w:type="spellStart"/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S</w:t>
      </w: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vertAlign w:val="subscript"/>
          <w:lang w:eastAsia="ru-RU"/>
        </w:rPr>
        <w:t>взн</w:t>
      </w:r>
      <w:proofErr w:type="spellEnd"/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,</w:t>
      </w:r>
    </w:p>
    <w:p w:rsidR="00594A69" w:rsidRPr="00594A69" w:rsidRDefault="00594A69" w:rsidP="00594A6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94A6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594A69" w:rsidRPr="00594A69" w:rsidRDefault="00594A69" w:rsidP="00594A69">
      <w:pPr>
        <w:shd w:val="clear" w:color="auto" w:fill="FFFFFF"/>
        <w:spacing w:after="300" w:line="338" w:lineRule="atLeast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где:</w:t>
      </w:r>
    </w:p>
    <w:p w:rsidR="00594A69" w:rsidRPr="00594A69" w:rsidRDefault="00594A69" w:rsidP="00884C0B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T</w:t>
      </w: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vertAlign w:val="subscript"/>
          <w:lang w:eastAsia="ru-RU"/>
        </w:rPr>
        <w:t> </w:t>
      </w:r>
      <w:proofErr w:type="spellStart"/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vertAlign w:val="subscript"/>
          <w:lang w:eastAsia="ru-RU"/>
        </w:rPr>
        <w:t>кр</w:t>
      </w:r>
      <w:proofErr w:type="spellEnd"/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- 5000 рублей - размер выплаты ежемесячного денежного вознаграждения за классное руководство педагогическим работникам общеобразовательных организаций (но не более 2 выплат ежемесячного денежного вознаграждения 1 педагогическому работнику при условии осуществления классного руководства в 2 и более классах);</w:t>
      </w:r>
    </w:p>
    <w:p w:rsidR="00594A69" w:rsidRPr="00594A69" w:rsidRDefault="00594A69" w:rsidP="00884C0B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proofErr w:type="gramStart"/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Р</w:t>
      </w:r>
      <w:proofErr w:type="gramEnd"/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vertAlign w:val="subscript"/>
          <w:lang w:eastAsia="ru-RU"/>
        </w:rPr>
        <w:t> к</w:t>
      </w: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- районные коэффициенты;</w:t>
      </w:r>
    </w:p>
    <w:p w:rsidR="00594A69" w:rsidRPr="00594A69" w:rsidRDefault="00594A69" w:rsidP="00884C0B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proofErr w:type="gramStart"/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П</w:t>
      </w:r>
      <w:proofErr w:type="gramEnd"/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vertAlign w:val="subscript"/>
          <w:lang w:eastAsia="ru-RU"/>
        </w:rPr>
        <w:t> </w:t>
      </w:r>
      <w:proofErr w:type="spellStart"/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vertAlign w:val="subscript"/>
          <w:lang w:eastAsia="ru-RU"/>
        </w:rPr>
        <w:t>н</w:t>
      </w:r>
      <w:proofErr w:type="spellEnd"/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- процентные надбавки;</w:t>
      </w:r>
    </w:p>
    <w:p w:rsidR="00594A69" w:rsidRPr="00594A69" w:rsidRDefault="00594A69" w:rsidP="00884C0B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H</w:t>
      </w: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vertAlign w:val="subscript"/>
          <w:lang w:eastAsia="ru-RU"/>
        </w:rPr>
        <w:t> 1</w:t>
      </w: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- заявленная субъектом Российской Федерации прогнозируемая численность педагогических работников общеобразовательных организаций, получающих вознаграждение за классное руководство;</w:t>
      </w:r>
    </w:p>
    <w:p w:rsidR="00594A69" w:rsidRPr="00594A69" w:rsidRDefault="00594A69" w:rsidP="00884C0B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N</w:t>
      </w: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vertAlign w:val="subscript"/>
          <w:lang w:eastAsia="ru-RU"/>
        </w:rPr>
        <w:t> м</w:t>
      </w: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- количество месяцев в году, в которые выплачивается ежемесячное денежное вознаграждение педагогическим работникам общеобразовательных организаций за классное руководство;</w:t>
      </w:r>
    </w:p>
    <w:p w:rsidR="00594A69" w:rsidRPr="00594A69" w:rsidRDefault="00594A69" w:rsidP="00884C0B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S</w:t>
      </w: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vertAlign w:val="subscript"/>
          <w:lang w:eastAsia="ru-RU"/>
        </w:rPr>
        <w:t> </w:t>
      </w:r>
      <w:proofErr w:type="spellStart"/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vertAlign w:val="subscript"/>
          <w:lang w:eastAsia="ru-RU"/>
        </w:rPr>
        <w:t>взн</w:t>
      </w:r>
      <w:proofErr w:type="spellEnd"/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- страховые взносы в государственные внебюджетные фонды.</w:t>
      </w:r>
    </w:p>
    <w:p w:rsidR="00594A69" w:rsidRPr="00594A69" w:rsidRDefault="00594A69" w:rsidP="00884C0B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12. Перечисление иных межбюджетных трансфертов осуществляется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Федерации.</w:t>
      </w:r>
    </w:p>
    <w:p w:rsidR="00594A69" w:rsidRPr="00594A69" w:rsidRDefault="00594A69" w:rsidP="00884C0B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13. Оценка эффективности предоставления иных межбюджетных трансфертов осуществляется Министерством просвещения Российской Федерации путем сравнения плановых и фактических значений результатов предоставления иных межбюджетных трансфертов, которые устанавливаются соглашением, - доля педагогических работников общеобразовательных организаций, получивших вознаграждение за классное </w:t>
      </w: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lastRenderedPageBreak/>
        <w:t>руководство, в общей численности педагогических работников такой категории.</w:t>
      </w:r>
    </w:p>
    <w:p w:rsidR="00594A69" w:rsidRPr="00594A69" w:rsidRDefault="00594A69" w:rsidP="00884C0B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14. </w:t>
      </w:r>
      <w:proofErr w:type="gramStart"/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В случае если субъектом Российской Федерации по состоянию на 31 декабря текущего финансового года допущено </w:t>
      </w:r>
      <w:proofErr w:type="spellStart"/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недостижение</w:t>
      </w:r>
      <w:proofErr w:type="spellEnd"/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значения результата предоставления иных межбюджетных трансфертов, установленного соглашением, размер средств, подлежащих возврату из бюджета субъекта Российской Федерации в федеральный бюджет до 1 мая года, следующего за годом предоставления иных межбюджетных трансфертов (Т</w:t>
      </w: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vertAlign w:val="subscript"/>
          <w:lang w:eastAsia="ru-RU"/>
        </w:rPr>
        <w:t> 2i</w:t>
      </w: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), определяется по формуле:</w:t>
      </w:r>
      <w:proofErr w:type="gramEnd"/>
    </w:p>
    <w:p w:rsidR="00594A69" w:rsidRPr="00594A69" w:rsidRDefault="00594A69" w:rsidP="00884C0B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94A6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594A69" w:rsidRPr="00594A69" w:rsidRDefault="00594A69" w:rsidP="00884C0B">
      <w:pPr>
        <w:shd w:val="clear" w:color="auto" w:fill="FFFFFF"/>
        <w:spacing w:after="0" w:line="338" w:lineRule="atLeast"/>
        <w:ind w:firstLine="680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Т</w:t>
      </w: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vertAlign w:val="subscript"/>
          <w:lang w:eastAsia="ru-RU"/>
        </w:rPr>
        <w:t>2i</w:t>
      </w: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=Т</w:t>
      </w: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vertAlign w:val="subscript"/>
          <w:lang w:eastAsia="ru-RU"/>
        </w:rPr>
        <w:t>1i</w:t>
      </w: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pict>
          <v:shape id="_x0000_i1029" type="#_x0000_t75" alt="" style="width:10.5pt;height:15.75pt"/>
        </w:pict>
      </w: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(</w:t>
      </w:r>
      <w:proofErr w:type="spellStart"/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Т</w:t>
      </w: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vertAlign w:val="subscript"/>
          <w:lang w:eastAsia="ru-RU"/>
        </w:rPr>
        <w:t>кр</w:t>
      </w:r>
      <w:proofErr w:type="spellEnd"/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pict>
          <v:shape id="_x0000_i1030" type="#_x0000_t75" alt="" style="width:8.25pt;height:14.25pt"/>
        </w:pict>
      </w: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(</w:t>
      </w:r>
      <w:proofErr w:type="spellStart"/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Рк</w:t>
      </w:r>
      <w:proofErr w:type="spellEnd"/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+ </w:t>
      </w:r>
      <w:proofErr w:type="spellStart"/>
      <w:proofErr w:type="gramStart"/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П</w:t>
      </w: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vertAlign w:val="subscript"/>
          <w:lang w:eastAsia="ru-RU"/>
        </w:rPr>
        <w:t>н</w:t>
      </w:r>
      <w:proofErr w:type="spellEnd"/>
      <w:proofErr w:type="gramEnd"/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)) </w:t>
      </w: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pict>
          <v:shape id="_x0000_i1031" type="#_x0000_t75" alt="" style="width:8.25pt;height:14.25pt"/>
        </w:pict>
      </w: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Н</w:t>
      </w: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vertAlign w:val="subscript"/>
          <w:lang w:eastAsia="ru-RU"/>
        </w:rPr>
        <w:t>2</w:t>
      </w: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pict>
          <v:shape id="_x0000_i1032" type="#_x0000_t75" alt="" style="width:8.25pt;height:14.25pt"/>
        </w:pict>
      </w: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</w:t>
      </w:r>
      <w:proofErr w:type="spellStart"/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N</w:t>
      </w: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vertAlign w:val="subscript"/>
          <w:lang w:eastAsia="ru-RU"/>
        </w:rPr>
        <w:t>м</w:t>
      </w:r>
      <w:proofErr w:type="spellEnd"/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pict>
          <v:shape id="_x0000_i1033" type="#_x0000_t75" alt="" style="width:8.25pt;height:14.25pt"/>
        </w:pict>
      </w: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</w:t>
      </w:r>
      <w:proofErr w:type="spellStart"/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S</w:t>
      </w: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vertAlign w:val="subscript"/>
          <w:lang w:eastAsia="ru-RU"/>
        </w:rPr>
        <w:t>взн</w:t>
      </w:r>
      <w:proofErr w:type="spellEnd"/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,</w:t>
      </w:r>
    </w:p>
    <w:p w:rsidR="00594A69" w:rsidRPr="00594A69" w:rsidRDefault="00594A69" w:rsidP="00884C0B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94A6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594A69" w:rsidRPr="00594A69" w:rsidRDefault="00594A69" w:rsidP="00884C0B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где H</w:t>
      </w: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vertAlign w:val="subscript"/>
          <w:lang w:eastAsia="ru-RU"/>
        </w:rPr>
        <w:t> 2</w:t>
      </w: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- фактическая численность педагогических работников общеобразовательных организаций субъекта Российской Федерации, получающих вознаграждение за классное руководство.</w:t>
      </w:r>
    </w:p>
    <w:p w:rsidR="00594A69" w:rsidRPr="00594A69" w:rsidRDefault="00594A69" w:rsidP="00884C0B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15. Не позднее 20 января года, следующего за отчетным годом, в Министерство просвещения Российской Федерации представляется отчетность о расходах бюджетов субъектов Российской Федерации и достижении значения результата предоставления иного межбюджетного трансферта, установленного соглашением.</w:t>
      </w:r>
    </w:p>
    <w:p w:rsidR="00594A69" w:rsidRPr="00594A69" w:rsidRDefault="00594A69" w:rsidP="00884C0B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16. В случае нецелевого использования иного межбюджетного трансферта субъектом Российской Федерации к нему применяются бюджетные меры принуждения, предусмотренные бюджетным законодательством Российской Федерации.</w:t>
      </w:r>
    </w:p>
    <w:p w:rsidR="00594A69" w:rsidRPr="00594A69" w:rsidRDefault="00594A69" w:rsidP="00884C0B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17. Ответственность за достоверность представляемых в Министерство просвещения Российской Федерации информации и документов, предусмотренных настоящими Правилами, возлагается на высший исполнительный орган государственной власти субъекта Российской Федерации.</w:t>
      </w:r>
    </w:p>
    <w:p w:rsidR="00594A69" w:rsidRPr="00594A69" w:rsidRDefault="00594A69" w:rsidP="00884C0B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18. </w:t>
      </w:r>
      <w:proofErr w:type="gramStart"/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Контроль за</w:t>
      </w:r>
      <w:proofErr w:type="gramEnd"/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соблюдением субъектами Российской Федерации целей, условий и порядка предоставления иных межбюджетных трансфертов осуществляется Министерством просвещения Российской Федерации и уполномоченными органами государственного финансового контроля</w:t>
      </w:r>
      <w:proofErr w:type="gramStart"/>
      <w:r w:rsidRPr="00594A69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.".</w:t>
      </w:r>
      <w:proofErr w:type="gramEnd"/>
    </w:p>
    <w:p w:rsidR="00594A69" w:rsidRPr="00594A69" w:rsidRDefault="00594A69" w:rsidP="00884C0B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94A6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21040D" w:rsidRPr="00594A69" w:rsidRDefault="0021040D" w:rsidP="00884C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040D" w:rsidRPr="00594A69" w:rsidSect="00210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A69"/>
    <w:rsid w:val="001E737B"/>
    <w:rsid w:val="0021040D"/>
    <w:rsid w:val="00594A69"/>
    <w:rsid w:val="00620516"/>
    <w:rsid w:val="00884C0B"/>
    <w:rsid w:val="00D4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7B"/>
  </w:style>
  <w:style w:type="paragraph" w:styleId="1">
    <w:name w:val="heading 1"/>
    <w:basedOn w:val="a"/>
    <w:link w:val="10"/>
    <w:uiPriority w:val="9"/>
    <w:qFormat/>
    <w:rsid w:val="00594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A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59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9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4A69"/>
  </w:style>
  <w:style w:type="character" w:styleId="a4">
    <w:name w:val="Hyperlink"/>
    <w:basedOn w:val="a0"/>
    <w:uiPriority w:val="99"/>
    <w:semiHidden/>
    <w:unhideWhenUsed/>
    <w:rsid w:val="00594A69"/>
    <w:rPr>
      <w:color w:val="0000FF"/>
      <w:u w:val="single"/>
    </w:rPr>
  </w:style>
  <w:style w:type="paragraph" w:customStyle="1" w:styleId="s16">
    <w:name w:val="s_16"/>
    <w:basedOn w:val="a"/>
    <w:rsid w:val="0059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94A69"/>
  </w:style>
  <w:style w:type="paragraph" w:customStyle="1" w:styleId="s3">
    <w:name w:val="s_3"/>
    <w:basedOn w:val="a"/>
    <w:rsid w:val="0059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10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35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87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14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43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50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42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93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05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06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92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96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31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03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20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36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0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3855332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1848426/5df3cf44452aab7de28d69de5bee2373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1848426/" TargetMode="External"/><Relationship Id="rId11" Type="http://schemas.openxmlformats.org/officeDocument/2006/relationships/hyperlink" Target="https://base.garant.ru/71848426/5df3cf44452aab7de28d69de5bee2373/" TargetMode="External"/><Relationship Id="rId5" Type="http://schemas.openxmlformats.org/officeDocument/2006/relationships/hyperlink" Target="https://base.garant.ru/71848426/5df3cf44452aab7de28d69de5bee2373/" TargetMode="External"/><Relationship Id="rId10" Type="http://schemas.openxmlformats.org/officeDocument/2006/relationships/hyperlink" Target="https://base.garant.ru/71848426/5df3cf44452aab7de28d69de5bee2373/" TargetMode="External"/><Relationship Id="rId4" Type="http://schemas.openxmlformats.org/officeDocument/2006/relationships/hyperlink" Target="https://base.garant.ru/73855332/4c5e26f9d4ee1f4f5e21779e01900496/" TargetMode="External"/><Relationship Id="rId9" Type="http://schemas.openxmlformats.org/officeDocument/2006/relationships/hyperlink" Target="https://base.garant.ru/71848426/5df3cf44452aab7de28d69de5bee23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6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2020-09-11T13:39:00Z</dcterms:created>
  <dcterms:modified xsi:type="dcterms:W3CDTF">2020-09-12T05:32:00Z</dcterms:modified>
</cp:coreProperties>
</file>